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0D56D" w14:textId="77777777" w:rsidR="0065648B" w:rsidRDefault="00F52C54">
      <w:pPr>
        <w:spacing w:before="60" w:after="0"/>
        <w:ind w:left="1400" w:right="1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0FB0D59F" wp14:editId="0FB0D5A0">
            <wp:extent cx="2890838" cy="97332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973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B0D56E" w14:textId="77777777" w:rsidR="0065648B" w:rsidRDefault="00F52C54">
      <w:pPr>
        <w:pStyle w:val="Title"/>
      </w:pPr>
      <w:bookmarkStart w:id="0" w:name="_qo6hd5r0lm15" w:colFirst="0" w:colLast="0"/>
      <w:bookmarkEnd w:id="0"/>
      <w:r>
        <w:t>2022 Michigan Good Food Charter Resolution of Support</w:t>
      </w:r>
    </w:p>
    <w:p w14:paraId="0FB0D56F" w14:textId="77777777" w:rsidR="0065648B" w:rsidRDefault="00F52C54">
      <w:r>
        <w:rPr>
          <w:b/>
        </w:rPr>
        <w:t>WHEREAS</w:t>
      </w:r>
      <w:r>
        <w:t xml:space="preserve">, </w:t>
      </w:r>
      <w:r>
        <w:t>Michigan</w:t>
      </w:r>
      <w:r>
        <w:t xml:space="preserve"> has the second most diverse agricultural production in the country, and yet approximately 1.2 million Michiganders face food insecurity, nearly 300,000 of which are children</w:t>
      </w:r>
      <w:r>
        <w:rPr>
          <w:vertAlign w:val="superscript"/>
        </w:rPr>
        <w:footnoteReference w:id="1"/>
      </w:r>
      <w:r>
        <w:t>; and</w:t>
      </w:r>
    </w:p>
    <w:p w14:paraId="0FB0D570" w14:textId="77777777" w:rsidR="0065648B" w:rsidRDefault="00F52C54">
      <w:r>
        <w:rPr>
          <w:b/>
        </w:rPr>
        <w:t>WHEREAS</w:t>
      </w:r>
      <w:r>
        <w:t>, Michigan communities of color experience disproportionate gaps in</w:t>
      </w:r>
      <w:r>
        <w:t xml:space="preserve"> nutrition security, healthy and culturally relevant food access, as well as technical resources and lending opportunities for food and farm entrepreneurs of color</w:t>
      </w:r>
      <w:r>
        <w:rPr>
          <w:vertAlign w:val="superscript"/>
        </w:rPr>
        <w:footnoteReference w:id="2"/>
      </w:r>
      <w:r>
        <w:t>; and</w:t>
      </w:r>
    </w:p>
    <w:p w14:paraId="0FB0D571" w14:textId="77777777" w:rsidR="0065648B" w:rsidRDefault="00F52C54">
      <w:r>
        <w:rPr>
          <w:b/>
        </w:rPr>
        <w:t>WHEREAS,</w:t>
      </w:r>
      <w:r>
        <w:t xml:space="preserve"> Michigan’s $104.7 billion food and agriculture industry and its role account</w:t>
      </w:r>
      <w:r>
        <w:t>ing for about 17 percent of the state’s employment</w:t>
      </w:r>
      <w:r>
        <w:rPr>
          <w:vertAlign w:val="superscript"/>
        </w:rPr>
        <w:footnoteReference w:id="3"/>
      </w:r>
      <w:r>
        <w:t xml:space="preserve"> creates an unparalleled potential for community economic resilience; and</w:t>
      </w:r>
    </w:p>
    <w:p w14:paraId="0FB0D572" w14:textId="77777777" w:rsidR="0065648B" w:rsidRDefault="00F52C54">
      <w:r>
        <w:rPr>
          <w:b/>
        </w:rPr>
        <w:t>WHEREAS</w:t>
      </w:r>
      <w:r>
        <w:t>, Michigan consumers’ interest in local and regionally produced foods and yet an aging farming population combined with lan</w:t>
      </w:r>
      <w:r>
        <w:t>d consolidation and steep barriers to entry has steadily reduced the number of family farms and put control of land in fewer and fewer hands</w:t>
      </w:r>
      <w:r>
        <w:rPr>
          <w:vertAlign w:val="superscript"/>
        </w:rPr>
        <w:footnoteReference w:id="4"/>
      </w:r>
      <w:r>
        <w:t>; and</w:t>
      </w:r>
    </w:p>
    <w:p w14:paraId="0FB0D573" w14:textId="77777777" w:rsidR="0065648B" w:rsidRDefault="00F52C54">
      <w:r>
        <w:rPr>
          <w:b/>
        </w:rPr>
        <w:t>WHEREAS,</w:t>
      </w:r>
      <w:r>
        <w:t xml:space="preserve"> the prevalence of diet-related disease and the fact that our state falls above the seventy-fifth pe</w:t>
      </w:r>
      <w:r>
        <w:t>rcentile nationally for annual statewide healthcare costs associated with food insecurity</w:t>
      </w:r>
      <w:r>
        <w:rPr>
          <w:vertAlign w:val="superscript"/>
        </w:rPr>
        <w:footnoteReference w:id="5"/>
      </w:r>
      <w:r>
        <w:t xml:space="preserve"> demands we address our system of growing, selling, and consuming food; and</w:t>
      </w:r>
    </w:p>
    <w:p w14:paraId="0FB0D574" w14:textId="77777777" w:rsidR="0065648B" w:rsidRDefault="00F52C54">
      <w:r>
        <w:rPr>
          <w:b/>
        </w:rPr>
        <w:t>WHEREAS</w:t>
      </w:r>
      <w:r>
        <w:t>, climate change is a growing threat, with many standard agricultural methods prod</w:t>
      </w:r>
      <w:r>
        <w:t>ucing harmful greenhouse gas emissions, reducing biodiversity, and polluting watersheds; and BIPOC communities and low-wealth populations are disproportionately affected by the impacts of climate change</w:t>
      </w:r>
      <w:r>
        <w:rPr>
          <w:vertAlign w:val="superscript"/>
        </w:rPr>
        <w:footnoteReference w:id="6"/>
      </w:r>
      <w:r>
        <w:t xml:space="preserve">; </w:t>
      </w:r>
    </w:p>
    <w:p w14:paraId="0FB0D575" w14:textId="77777777" w:rsidR="0065648B" w:rsidRDefault="00F52C54">
      <w:r>
        <w:rPr>
          <w:b/>
        </w:rPr>
        <w:t>BE IT THEREFORE RESOLVED</w:t>
      </w:r>
      <w:r>
        <w:t xml:space="preserve"> that the undersigned end</w:t>
      </w:r>
      <w:r>
        <w:t xml:space="preserve">orses the vision of the Michigan Good Food Charter and supports policy and practice changes in the following areas to advance locally-integrated good food systems, ensuring food is </w:t>
      </w:r>
      <w:r>
        <w:rPr>
          <w:b/>
        </w:rPr>
        <w:t>accessible</w:t>
      </w:r>
      <w:r>
        <w:t xml:space="preserve"> to everyone, </w:t>
      </w:r>
      <w:r>
        <w:lastRenderedPageBreak/>
        <w:t xml:space="preserve">promoting </w:t>
      </w:r>
      <w:r>
        <w:rPr>
          <w:b/>
        </w:rPr>
        <w:t>healthy</w:t>
      </w:r>
      <w:r>
        <w:t xml:space="preserve"> communities, using fair and </w:t>
      </w:r>
      <w:r>
        <w:rPr>
          <w:b/>
        </w:rPr>
        <w:t>susta</w:t>
      </w:r>
      <w:r>
        <w:rPr>
          <w:b/>
        </w:rPr>
        <w:t>inable</w:t>
      </w:r>
      <w:r>
        <w:t xml:space="preserve"> production methods, and supporting a </w:t>
      </w:r>
      <w:r>
        <w:rPr>
          <w:b/>
        </w:rPr>
        <w:t>diverse</w:t>
      </w:r>
      <w:r>
        <w:t xml:space="preserve"> and </w:t>
      </w:r>
      <w:r>
        <w:rPr>
          <w:b/>
        </w:rPr>
        <w:t>equitable</w:t>
      </w:r>
      <w:r>
        <w:t xml:space="preserve"> society as a means of achieving a healthier, more prosperous and more equitable state:</w:t>
      </w:r>
    </w:p>
    <w:p w14:paraId="0FB0D576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Food Access to Food Sovereignty</w:t>
      </w:r>
      <w:r>
        <w:t>: Everyone has the resources to access and afford healthy, culturally relevant food where they live, work, learn, and play and the ability to shape the food systems that impact them.</w:t>
      </w:r>
    </w:p>
    <w:p w14:paraId="0FB0D577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Farm and Food Business Viability</w:t>
      </w:r>
      <w:r>
        <w:t xml:space="preserve">: The food system supports a dynamic mix </w:t>
      </w:r>
      <w:r>
        <w:t>of local, regional, national, and global food sources that offer opportunities for small-scale and marginalized Michigan farm and food businesses to thrive.</w:t>
      </w:r>
    </w:p>
    <w:p w14:paraId="0FB0D578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Health Equity</w:t>
      </w:r>
      <w:r>
        <w:t>: The food system supports opportunities for everyone to be as healthy as possible, ph</w:t>
      </w:r>
      <w:r>
        <w:t>ysically, mentally, socially, and spiritually.</w:t>
      </w:r>
    </w:p>
    <w:p w14:paraId="0FB0D579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Fair Wages and Economic Opportunity</w:t>
      </w:r>
      <w:r>
        <w:t>: People who plant, harvest, process, pack, transport, prepare, serve, and sell food have access to living wages, benefits, safe work environments, and pathways for career ad</w:t>
      </w:r>
      <w:r>
        <w:t>vancement and leadership.</w:t>
      </w:r>
    </w:p>
    <w:p w14:paraId="0FB0D57A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Sustainable Ecosystems</w:t>
      </w:r>
      <w:r>
        <w:t>: The food system protects air, water, and soil now and for future generations.</w:t>
      </w:r>
    </w:p>
    <w:p w14:paraId="0FB0D57B" w14:textId="77777777" w:rsidR="0065648B" w:rsidRDefault="00F52C54">
      <w:pPr>
        <w:numPr>
          <w:ilvl w:val="0"/>
          <w:numId w:val="1"/>
        </w:numPr>
        <w:shd w:val="clear" w:color="auto" w:fill="FFFFFF"/>
      </w:pPr>
      <w:r>
        <w:rPr>
          <w:b/>
        </w:rPr>
        <w:t>Climate Change Mitigation and Resilience</w:t>
      </w:r>
      <w:r>
        <w:t>: Communities are resilient in the face of climate change and the food system actively m</w:t>
      </w:r>
      <w:r>
        <w:t>itigates its impact on the climate.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920"/>
        <w:gridCol w:w="1305"/>
        <w:gridCol w:w="1305"/>
        <w:gridCol w:w="1305"/>
        <w:gridCol w:w="1305"/>
      </w:tblGrid>
      <w:tr w:rsidR="0065648B" w14:paraId="0FB0D57E" w14:textId="77777777">
        <w:trPr>
          <w:cantSplit/>
          <w:trHeight w:val="43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7C" w14:textId="77777777" w:rsidR="0065648B" w:rsidRDefault="00F52C54">
            <w:pPr>
              <w:spacing w:after="0"/>
              <w:jc w:val="right"/>
            </w:pPr>
            <w:r>
              <w:t>Organization Name: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7D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65648B" w14:paraId="0FB0D581" w14:textId="77777777">
        <w:trPr>
          <w:cantSplit/>
          <w:trHeight w:val="40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7F" w14:textId="77777777" w:rsidR="0065648B" w:rsidRDefault="0065648B">
            <w:pPr>
              <w:spacing w:after="0"/>
              <w:jc w:val="center"/>
            </w:pPr>
          </w:p>
        </w:tc>
        <w:tc>
          <w:tcPr>
            <w:tcW w:w="714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0" w14:textId="77777777" w:rsidR="0065648B" w:rsidRDefault="00F52C54">
            <w:pPr>
              <w:spacing w:after="0"/>
              <w:jc w:val="center"/>
            </w:pPr>
            <w:r>
              <w:rPr>
                <w:i/>
              </w:rPr>
              <w:t>(If signing as an individual or not applicable leave blank)</w:t>
            </w:r>
          </w:p>
        </w:tc>
      </w:tr>
      <w:tr w:rsidR="0065648B" w14:paraId="0FB0D584" w14:textId="77777777">
        <w:trPr>
          <w:cantSplit/>
          <w:trHeight w:val="43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2" w14:textId="77777777" w:rsidR="0065648B" w:rsidRDefault="00F52C54">
            <w:pPr>
              <w:spacing w:after="0"/>
              <w:jc w:val="right"/>
            </w:pPr>
            <w:r>
              <w:t xml:space="preserve">Contact Person’s Name:   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3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65648B" w14:paraId="0FB0D587" w14:textId="77777777">
        <w:trPr>
          <w:cantSplit/>
          <w:trHeight w:val="43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5" w14:textId="77777777" w:rsidR="0065648B" w:rsidRDefault="00F52C54">
            <w:pPr>
              <w:spacing w:after="0"/>
              <w:jc w:val="right"/>
            </w:pPr>
            <w:r>
              <w:t>Title or Position:</w:t>
            </w:r>
          </w:p>
        </w:tc>
        <w:tc>
          <w:tcPr>
            <w:tcW w:w="7140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6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</w:tr>
      <w:tr w:rsidR="0065648B" w14:paraId="0FB0D58A" w14:textId="77777777">
        <w:trPr>
          <w:cantSplit/>
          <w:trHeight w:val="43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8" w14:textId="77777777" w:rsidR="0065648B" w:rsidRDefault="00F52C54">
            <w:pPr>
              <w:spacing w:after="0"/>
              <w:jc w:val="right"/>
            </w:pPr>
            <w:r>
              <w:t xml:space="preserve">Street Address:  </w:t>
            </w:r>
          </w:p>
        </w:tc>
        <w:tc>
          <w:tcPr>
            <w:tcW w:w="7140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9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</w:tr>
      <w:tr w:rsidR="0065648B" w14:paraId="0FB0D591" w14:textId="77777777">
        <w:trPr>
          <w:cantSplit/>
          <w:trHeight w:val="43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B" w14:textId="77777777" w:rsidR="0065648B" w:rsidRDefault="00F52C54">
            <w:pPr>
              <w:spacing w:after="0"/>
              <w:jc w:val="right"/>
            </w:pPr>
            <w:r>
              <w:t>City:</w:t>
            </w: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C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D" w14:textId="77777777" w:rsidR="0065648B" w:rsidRDefault="00F52C54">
            <w:pPr>
              <w:spacing w:after="0"/>
              <w:jc w:val="right"/>
            </w:pPr>
            <w:r>
              <w:t>State: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E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8F" w14:textId="77777777" w:rsidR="0065648B" w:rsidRDefault="00F52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  <w:r>
              <w:t>Zip: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90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</w:tr>
      <w:tr w:rsidR="0065648B" w14:paraId="0FB0D596" w14:textId="77777777">
        <w:trPr>
          <w:cantSplit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92" w14:textId="77777777" w:rsidR="0065648B" w:rsidRDefault="00F52C54">
            <w:pPr>
              <w:spacing w:after="0"/>
              <w:jc w:val="right"/>
            </w:pPr>
            <w:r>
              <w:t>Email:</w:t>
            </w: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93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94" w14:textId="77777777" w:rsidR="0065648B" w:rsidRDefault="00F52C54">
            <w:pPr>
              <w:spacing w:after="0"/>
              <w:jc w:val="right"/>
            </w:pPr>
            <w:r>
              <w:t>Phone:</w:t>
            </w:r>
          </w:p>
        </w:tc>
        <w:tc>
          <w:tcPr>
            <w:tcW w:w="3915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FB0D595" w14:textId="77777777" w:rsidR="0065648B" w:rsidRDefault="0065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</w:pPr>
          </w:p>
        </w:tc>
      </w:tr>
    </w:tbl>
    <w:p w14:paraId="0FB0D597" w14:textId="77777777" w:rsidR="0065648B" w:rsidRDefault="0065648B"/>
    <w:p w14:paraId="0FB0D598" w14:textId="77777777" w:rsidR="0065648B" w:rsidRDefault="00F52C54">
      <w:r>
        <w:rPr>
          <w:noProof/>
        </w:rPr>
      </w:r>
      <w:r w:rsidR="00F52C54">
        <w:rPr>
          <w:noProof/>
        </w:rPr>
        <w:pict w14:anchorId="0FB0D5A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B0D599" w14:textId="77777777" w:rsidR="0065648B" w:rsidRDefault="00F52C54">
      <w:r>
        <w:rPr>
          <w:b/>
        </w:rPr>
        <w:t>Individuals and organizations signing this resolution of support will be listed at</w:t>
      </w:r>
      <w:hyperlink r:id="rId11">
        <w:r>
          <w:rPr>
            <w:b/>
            <w:color w:val="1155CC"/>
            <w:u w:val="single"/>
          </w:rPr>
          <w:t xml:space="preserve"> www.michiganfood.org</w:t>
        </w:r>
      </w:hyperlink>
      <w:r>
        <w:rPr>
          <w:b/>
        </w:rPr>
        <w:t xml:space="preserve"> and this list will be presented to federal, state and local policymakers.</w:t>
      </w:r>
    </w:p>
    <w:p w14:paraId="0FB0D59A" w14:textId="77777777" w:rsidR="0065648B" w:rsidRDefault="00F52C54">
      <w:pPr>
        <w:rPr>
          <w:b/>
        </w:rPr>
      </w:pPr>
      <w:r>
        <w:rPr>
          <w:b/>
        </w:rPr>
        <w:t>Please return by any of the fo</w:t>
      </w:r>
      <w:r>
        <w:rPr>
          <w:b/>
        </w:rPr>
        <w:t xml:space="preserve">llowing means: </w:t>
      </w:r>
    </w:p>
    <w:p w14:paraId="0FB0D59B" w14:textId="77777777" w:rsidR="0065648B" w:rsidRDefault="00F52C54">
      <w:pPr>
        <w:numPr>
          <w:ilvl w:val="0"/>
          <w:numId w:val="2"/>
        </w:numPr>
        <w:spacing w:after="0"/>
      </w:pPr>
      <w:r>
        <w:t xml:space="preserve">Email: </w:t>
      </w:r>
      <w:hyperlink r:id="rId12">
        <w:r>
          <w:rPr>
            <w:color w:val="1155CC"/>
            <w:u w:val="single"/>
          </w:rPr>
          <w:t>crfs@msu.edu</w:t>
        </w:r>
      </w:hyperlink>
    </w:p>
    <w:p w14:paraId="0FB0D59C" w14:textId="77777777" w:rsidR="0065648B" w:rsidRDefault="00F52C54">
      <w:pPr>
        <w:numPr>
          <w:ilvl w:val="0"/>
          <w:numId w:val="2"/>
        </w:numPr>
        <w:spacing w:after="0"/>
      </w:pPr>
      <w:r>
        <w:lastRenderedPageBreak/>
        <w:t>Mail: Lindsey Scalera - 303 Natural Resources, Michigan State University, East Lansing, MI 48824</w:t>
      </w:r>
    </w:p>
    <w:p w14:paraId="0FB0D59D" w14:textId="77777777" w:rsidR="0065648B" w:rsidRDefault="00F52C54">
      <w:pPr>
        <w:numPr>
          <w:ilvl w:val="0"/>
          <w:numId w:val="2"/>
        </w:numPr>
      </w:pPr>
      <w:r>
        <w:t xml:space="preserve">Online: </w:t>
      </w:r>
      <w:hyperlink r:id="rId13">
        <w:r>
          <w:rPr>
            <w:color w:val="1155CC"/>
            <w:u w:val="single"/>
          </w:rPr>
          <w:t>https://www.canr.msu.edu/michiganfood/get-involved/resolution-of-support/</w:t>
        </w:r>
      </w:hyperlink>
      <w:r>
        <w:t xml:space="preserve"> </w:t>
      </w:r>
    </w:p>
    <w:p w14:paraId="0FB0D59E" w14:textId="77777777" w:rsidR="0065648B" w:rsidRDefault="00F52C54">
      <w:pPr>
        <w:jc w:val="center"/>
      </w:pPr>
      <w:r>
        <w:t xml:space="preserve">Please contact the above email address with any questions. </w:t>
      </w:r>
    </w:p>
    <w:sectPr w:rsidR="006564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8F92" w14:textId="77777777" w:rsidR="00000000" w:rsidRDefault="00F52C54">
      <w:pPr>
        <w:spacing w:after="0"/>
      </w:pPr>
      <w:r>
        <w:separator/>
      </w:r>
    </w:p>
  </w:endnote>
  <w:endnote w:type="continuationSeparator" w:id="0">
    <w:p w14:paraId="54E8118C" w14:textId="77777777" w:rsidR="00000000" w:rsidRDefault="00F52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Fira Sans Condensed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Overpass Light">
    <w:charset w:val="00"/>
    <w:family w:val="auto"/>
    <w:pitch w:val="default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A4DE" w14:textId="77777777" w:rsidR="00F52C54" w:rsidRDefault="00F52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9D9E" w14:textId="77777777" w:rsidR="00F52C54" w:rsidRDefault="00F52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867F" w14:textId="77777777" w:rsidR="00F52C54" w:rsidRDefault="00F5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81CD" w14:textId="77777777" w:rsidR="00000000" w:rsidRDefault="00F52C54">
      <w:pPr>
        <w:spacing w:after="0"/>
      </w:pPr>
      <w:r>
        <w:separator/>
      </w:r>
    </w:p>
  </w:footnote>
  <w:footnote w:type="continuationSeparator" w:id="0">
    <w:p w14:paraId="57CF6A77" w14:textId="77777777" w:rsidR="00000000" w:rsidRDefault="00F52C54">
      <w:pPr>
        <w:spacing w:after="0"/>
      </w:pPr>
      <w:r>
        <w:continuationSeparator/>
      </w:r>
    </w:p>
  </w:footnote>
  <w:footnote w:id="1">
    <w:p w14:paraId="0FB0D5A2" w14:textId="77777777" w:rsidR="0065648B" w:rsidRDefault="00F52C54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Feeding America. (2020). </w:t>
      </w:r>
      <w:r>
        <w:rPr>
          <w:i/>
          <w:sz w:val="20"/>
          <w:szCs w:val="20"/>
        </w:rPr>
        <w:t>Map</w:t>
      </w:r>
      <w:r>
        <w:rPr>
          <w:i/>
          <w:sz w:val="20"/>
          <w:szCs w:val="20"/>
        </w:rPr>
        <w:t xml:space="preserve"> the Meal Gap - Michigan.</w:t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https://map.feedingamerica.org/district/2020/overall/michigan</w:t>
        </w:r>
      </w:hyperlink>
      <w:r>
        <w:rPr>
          <w:sz w:val="20"/>
          <w:szCs w:val="20"/>
        </w:rPr>
        <w:t xml:space="preserve"> </w:t>
      </w:r>
    </w:p>
  </w:footnote>
  <w:footnote w:id="2">
    <w:p w14:paraId="0FB0D5A3" w14:textId="77777777" w:rsidR="0065648B" w:rsidRDefault="00F52C54">
      <w:pPr>
        <w:spacing w:after="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Carr, K.N., Polanco, V., Tyler, S. (2020). </w:t>
      </w:r>
      <w:r>
        <w:rPr>
          <w:i/>
          <w:sz w:val="18"/>
          <w:szCs w:val="18"/>
        </w:rPr>
        <w:t xml:space="preserve">Michigan Farmers of Color and the Future </w:t>
      </w:r>
      <w:r>
        <w:rPr>
          <w:i/>
          <w:sz w:val="18"/>
          <w:szCs w:val="18"/>
        </w:rPr>
        <w:t>of  Sustainable Food Systems.</w:t>
      </w:r>
      <w:r>
        <w:rPr>
          <w:sz w:val="18"/>
          <w:szCs w:val="18"/>
        </w:rPr>
        <w:t xml:space="preserve"> Journal of Science Policy &amp; Governance, vol. 17 (1). </w:t>
      </w:r>
      <w:hyperlink r:id="rId2">
        <w:r>
          <w:rPr>
            <w:color w:val="1155CC"/>
            <w:sz w:val="18"/>
            <w:szCs w:val="18"/>
            <w:u w:val="single"/>
          </w:rPr>
          <w:t>http://doi.org/10.38126/JSPG170102</w:t>
        </w:r>
      </w:hyperlink>
      <w:r>
        <w:rPr>
          <w:sz w:val="18"/>
          <w:szCs w:val="18"/>
        </w:rPr>
        <w:t xml:space="preserve"> </w:t>
      </w:r>
    </w:p>
  </w:footnote>
  <w:footnote w:id="3">
    <w:p w14:paraId="0FB0D5A4" w14:textId="77777777" w:rsidR="0065648B" w:rsidRDefault="00F52C54">
      <w:pPr>
        <w:spacing w:after="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Michigan Department of Agriculture and Rural Development. (n.d.). </w:t>
      </w:r>
      <w:hyperlink r:id="rId3">
        <w:r>
          <w:rPr>
            <w:color w:val="1155CC"/>
            <w:sz w:val="18"/>
            <w:szCs w:val="18"/>
            <w:u w:val="single"/>
          </w:rPr>
          <w:t>https://www.michigan.gov/mdard/about/mi-agriculture/michigan-agriculture-resources</w:t>
        </w:r>
      </w:hyperlink>
    </w:p>
  </w:footnote>
  <w:footnote w:id="4">
    <w:p w14:paraId="0FB0D5A5" w14:textId="77777777" w:rsidR="0065648B" w:rsidRDefault="00F52C54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Ferguson, R. (2021). </w:t>
      </w:r>
      <w:r>
        <w:rPr>
          <w:i/>
          <w:sz w:val="20"/>
          <w:szCs w:val="20"/>
        </w:rPr>
        <w:t>Losing Ground: Farmland Consolidation and Threats to New Farmer</w:t>
      </w:r>
      <w:r>
        <w:rPr>
          <w:i/>
          <w:sz w:val="20"/>
          <w:szCs w:val="20"/>
        </w:rPr>
        <w:t>s, Black Farmers, and the Future of Farming</w:t>
      </w:r>
      <w:r>
        <w:rPr>
          <w:sz w:val="20"/>
          <w:szCs w:val="20"/>
        </w:rPr>
        <w:t xml:space="preserve">. Union of Concerned Scientists. </w:t>
      </w:r>
      <w:hyperlink r:id="rId4">
        <w:r>
          <w:rPr>
            <w:color w:val="1155CC"/>
            <w:sz w:val="20"/>
            <w:szCs w:val="20"/>
            <w:u w:val="single"/>
          </w:rPr>
          <w:t>https://www.ucsusa.org/resources/losing-ground</w:t>
        </w:r>
      </w:hyperlink>
      <w:r>
        <w:rPr>
          <w:sz w:val="20"/>
          <w:szCs w:val="20"/>
        </w:rPr>
        <w:t xml:space="preserve"> </w:t>
      </w:r>
    </w:p>
  </w:footnote>
  <w:footnote w:id="5">
    <w:p w14:paraId="0FB0D5A6" w14:textId="77777777" w:rsidR="0065648B" w:rsidRDefault="00F52C54">
      <w:pPr>
        <w:spacing w:after="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Michigan Food Security Council. (2022). </w:t>
      </w:r>
      <w:r>
        <w:rPr>
          <w:i/>
          <w:sz w:val="18"/>
          <w:szCs w:val="18"/>
        </w:rPr>
        <w:t xml:space="preserve">Final Report 2022. </w:t>
      </w:r>
      <w:hyperlink r:id="rId5">
        <w:r>
          <w:rPr>
            <w:color w:val="1155CC"/>
            <w:sz w:val="18"/>
            <w:szCs w:val="18"/>
            <w:u w:val="single"/>
          </w:rPr>
          <w:t>https://www.michigan.gov/mdhhs/assistance-programs/food</w:t>
        </w:r>
      </w:hyperlink>
      <w:r>
        <w:rPr>
          <w:sz w:val="18"/>
          <w:szCs w:val="18"/>
        </w:rPr>
        <w:t xml:space="preserve"> </w:t>
      </w:r>
    </w:p>
  </w:footnote>
  <w:footnote w:id="6">
    <w:p w14:paraId="0FB0D5A7" w14:textId="77777777" w:rsidR="0065648B" w:rsidRDefault="00F52C54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Office of Atmospheric Programs. (2021). </w:t>
      </w:r>
      <w:r>
        <w:rPr>
          <w:i/>
          <w:sz w:val="20"/>
          <w:szCs w:val="20"/>
        </w:rPr>
        <w:t>Climate change and social vulnerability in the United States: A focus on six impacts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U.S. Environmental Protection Agency. https:// </w:t>
      </w:r>
      <w:hyperlink r:id="rId6">
        <w:r>
          <w:rPr>
            <w:color w:val="1155CC"/>
            <w:sz w:val="20"/>
            <w:szCs w:val="20"/>
            <w:u w:val="single"/>
          </w:rPr>
          <w:t>www.epa.gov/cira/social-vulnerability-report</w:t>
        </w:r>
      </w:hyperlink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5C27" w14:textId="77777777" w:rsidR="00F52C54" w:rsidRDefault="00F52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EC8D" w14:textId="77777777" w:rsidR="00F52C54" w:rsidRDefault="00F52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3B2" w14:textId="77777777" w:rsidR="00F52C54" w:rsidRDefault="00F52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D3D"/>
    <w:multiLevelType w:val="multilevel"/>
    <w:tmpl w:val="43AA2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616B32"/>
    <w:multiLevelType w:val="multilevel"/>
    <w:tmpl w:val="7938C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1503063">
    <w:abstractNumId w:val="0"/>
  </w:num>
  <w:num w:numId="2" w16cid:durableId="15920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8B"/>
    <w:rsid w:val="0065648B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D56D"/>
  <w15:docId w15:val="{9B805C30-18E4-364E-9574-66B00EFD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8" w:space="2" w:color="000000"/>
      </w:pBdr>
      <w:spacing w:before="200"/>
      <w:outlineLvl w:val="0"/>
    </w:pPr>
    <w:rPr>
      <w:rFonts w:ascii="Merriweather" w:eastAsia="Merriweather" w:hAnsi="Merriweather" w:cs="Merriweather"/>
      <w:b/>
      <w:color w:val="3F694D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Fira Sans Condensed SemiBold" w:eastAsia="Fira Sans Condensed SemiBold" w:hAnsi="Fira Sans Condensed SemiBold" w:cs="Fira Sans Condensed SemiBold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Fira Sans Condensed" w:eastAsia="Fira Sans Condensed" w:hAnsi="Fira Sans Condensed" w:cs="Fira Sans Condensed"/>
      <w:color w:val="3F694D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80" w:line="276" w:lineRule="auto"/>
      <w:outlineLvl w:val="3"/>
    </w:pPr>
    <w:rPr>
      <w:rFonts w:ascii="Overpass Light" w:eastAsia="Overpass Light" w:hAnsi="Overpass Light" w:cs="Overpass Light"/>
      <w:color w:val="F26D38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120" w:line="273" w:lineRule="auto"/>
      <w:outlineLvl w:val="4"/>
    </w:pPr>
    <w:rPr>
      <w:rFonts w:ascii="Source Sans Pro SemiBold" w:eastAsia="Source Sans Pro SemiBold" w:hAnsi="Source Sans Pro SemiBold" w:cs="Source Sans Pro SemiBold"/>
      <w:i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73" w:lineRule="auto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C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2C54"/>
  </w:style>
  <w:style w:type="paragraph" w:styleId="Footer">
    <w:name w:val="footer"/>
    <w:basedOn w:val="Normal"/>
    <w:link w:val="FooterChar"/>
    <w:uiPriority w:val="99"/>
    <w:unhideWhenUsed/>
    <w:rsid w:val="00F52C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nr.msu.edu/michiganfood/get-involved/resolution-of-support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rfs@msu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chiganfood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chigan.gov/mdard/about/mi-agriculture/michigan-agriculture-resources" TargetMode="External"/><Relationship Id="rId2" Type="http://schemas.openxmlformats.org/officeDocument/2006/relationships/hyperlink" Target="http://doi.org/10.38126/JSPG170102" TargetMode="External"/><Relationship Id="rId1" Type="http://schemas.openxmlformats.org/officeDocument/2006/relationships/hyperlink" Target="https://map.feedingamerica.org/district/2020/overall/michigan" TargetMode="External"/><Relationship Id="rId6" Type="http://schemas.openxmlformats.org/officeDocument/2006/relationships/hyperlink" Target="http://www.epa.gov/cira/social-vulnerability-report" TargetMode="External"/><Relationship Id="rId5" Type="http://schemas.openxmlformats.org/officeDocument/2006/relationships/hyperlink" Target="https://www.michigan.gov/mdhhs/assistance-programs/food" TargetMode="External"/><Relationship Id="rId4" Type="http://schemas.openxmlformats.org/officeDocument/2006/relationships/hyperlink" Target="https://www.ucsusa.org/resources/losing-g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tyleName="APA" SelectedStyle="/APASixthEditionOfficeOnline.xsl" Version="6">
  <b:Source>
    <b:Tag>source1</b:Tag>
    <b:Month>January</b:Month>
    <b:DayAccessed>3</b:DayAccessed>
    <b:Day>31</b:Day>
    <b:Year>2020</b:Year>
    <b:SourceType>DocumentFromInternetSite</b:SourceType>
    <b:URL>https://www.canr.msu.edu/michigan-food-workforce/index</b:URL>
    <b:Title>Michigan Local and Regional Food System Workforce Assessment</b:Title>
    <b:InternetSiteTitle>MSU College of Agriculture and Natural Resources</b:InternetSiteTitle>
    <b:MonthAccessed>August</b:MonthAccessed>
    <b:ShortTitle>Workforce Assessment</b:ShortTitle>
    <b:YearAccessed>2022</b:YearAccessed>
    <b:Gdcea>{"AccessedType":"Website"}</b:Gdcea>
    <b:Author>
      <b:Author>
        <b:Corporate>Michigan State University Center for Regional Food Systems</b:Corporate>
      </b:Author>
    </b:Author>
  </b:Source>
  <b:Source>
    <b:Tag>source2</b:Tag>
    <b:Month>September</b:Month>
    <b:DayAccessed>3</b:DayAccessed>
    <b:Year>2021</b:Year>
    <b:SourceType>DocumentFromInternetSite</b:SourceType>
    <b:URL>https://www.epa.gov/cira/social-vulnerability-report</b:URL>
    <b:Title>Social Vulnerability Report | US EPA</b:Title>
    <b:InternetSiteTitle>Social Vulnerability Report | US EPA</b:InternetSiteTitle>
    <b:MonthAccessed>August</b:MonthAccessed>
    <b:ShortTitle>Social Vulnerability Report</b:ShortTitle>
    <b:YearAccessed>2022</b:YearAccessed>
    <b:Gdcea>{"AccessedType":"Website"}</b:Gdcea>
    <b:Author>
      <b:Author>
        <b:Corporate>Environmental Protection Agency</b:Corporate>
      </b:Author>
    </b:Autho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3492FED7FBC4CB817F23E357703E1" ma:contentTypeVersion="17" ma:contentTypeDescription="Create a new document." ma:contentTypeScope="" ma:versionID="9ff4ee5b48fd7a8719b9e62826f41114">
  <xsd:schema xmlns:xsd="http://www.w3.org/2001/XMLSchema" xmlns:xs="http://www.w3.org/2001/XMLSchema" xmlns:p="http://schemas.microsoft.com/office/2006/metadata/properties" xmlns:ns2="28293af0-9de2-4672-9681-923839bdf521" xmlns:ns3="8da8ff43-0792-4f7c-9faa-62bb0abebc55" targetNamespace="http://schemas.microsoft.com/office/2006/metadata/properties" ma:root="true" ma:fieldsID="6ba60d5dd1923175892d64b6ccbaa88e" ns2:_="" ns3:_="">
    <xsd:import namespace="28293af0-9de2-4672-9681-923839bdf521"/>
    <xsd:import namespace="8da8ff43-0792-4f7c-9faa-62bb0abeb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3af0-9de2-4672-9681-923839bdf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8ff43-0792-4f7c-9faa-62bb0abeb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633fff-65df-4f5f-b549-bcc778a19ba7}" ma:internalName="TaxCatchAll" ma:showField="CatchAllData" ma:web="8da8ff43-0792-4f7c-9faa-62bb0abeb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22222-1234-1234-1234-123412341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45232-1CB1-4D05-B739-DB636E9CF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3af0-9de2-4672-9681-923839bdf521"/>
    <ds:schemaRef ds:uri="8da8ff43-0792-4f7c-9faa-62bb0abeb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3F0DB-4486-489D-A40A-CA0BB06B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Kelly, Rachel</cp:lastModifiedBy>
  <cp:revision>2</cp:revision>
  <dcterms:created xsi:type="dcterms:W3CDTF">2022-08-05T17:44:00Z</dcterms:created>
  <dcterms:modified xsi:type="dcterms:W3CDTF">2022-08-05T17:44:00Z</dcterms:modified>
</cp:coreProperties>
</file>